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F9" w:rsidRPr="0095568D" w:rsidRDefault="00247397" w:rsidP="00FA0DD7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95568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مختارات</w:t>
      </w:r>
      <w:r w:rsidR="002632B1" w:rsidRPr="0095568D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من مقصورة ابن د</w:t>
      </w:r>
      <w:r w:rsidRPr="0095568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="002632B1" w:rsidRPr="0095568D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ريد</w:t>
      </w:r>
    </w:p>
    <w:p w:rsidR="00FD675C" w:rsidRPr="0095568D" w:rsidRDefault="00247397" w:rsidP="00B86F8F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القصيدة المشهورة بمقصورة ابن دُرَيد 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هي أشهر قصيدة مقصورة، </w:t>
      </w:r>
      <w:r w:rsidR="0000397E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B86F8F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معنى </w:t>
      </w:r>
      <w:r w:rsidR="0000397E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مقصورة أن 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آخر كل بيت </w:t>
      </w:r>
      <w:r w:rsidR="0000397E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في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ها حرف الألف غير الممدودة، وعدد أبيات </w:t>
      </w:r>
      <w:r w:rsidR="00E81CE0"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>مقصورة ابن دُريد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254 بيتا، و</w:t>
      </w: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ناظمها 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هو </w:t>
      </w:r>
      <w:r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>أب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بكر محمد بن الحسن بن د</w:t>
      </w: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>ريد الأزدي</w:t>
      </w: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العُماني القحطاني، البصري ثم البغدادي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من كبار أئمة اللغة والأدب، كان يقال: ابن دريد </w:t>
      </w:r>
      <w:r w:rsidR="00E81CE0"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>أشعر العلماء</w:t>
      </w:r>
      <w:r w:rsidR="0000397E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E81CE0" w:rsidRPr="0095568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وأعلم الشعراء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توفي رحمه الله ببغداد</w:t>
      </w:r>
      <w:r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سنة 321 هجرية </w:t>
      </w:r>
      <w:r w:rsidR="00E81CE0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وعمره 98 سنة</w:t>
      </w:r>
      <w:r w:rsidR="00FD675C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  <w:r w:rsidR="00E2021C" w:rsidRPr="009556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</w:p>
    <w:p w:rsidR="00E81CE0" w:rsidRPr="0095568D" w:rsidRDefault="00FD675C" w:rsidP="001761CB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95568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وهذه 4</w:t>
      </w:r>
      <w:r w:rsidR="001761C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5</w:t>
      </w:r>
      <w:r w:rsidRPr="0095568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 xml:space="preserve"> بيتا مختارة </w:t>
      </w:r>
      <w:r w:rsidR="0076136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 xml:space="preserve">منها، </w:t>
      </w:r>
      <w:r w:rsidRPr="0095568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هي أحسن ما في</w:t>
      </w:r>
      <w:r w:rsidR="00B86F8F" w:rsidRPr="0095568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 xml:space="preserve"> المقصورة</w:t>
      </w:r>
      <w:r w:rsidRPr="0095568D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: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إنَّ الجديدينِ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20CE5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"/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إذا ما اسْتوليا ... على جديدٍ أدنياهُ للبِلى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هالُ لل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أ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مر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الذي يروعُنا ... ونرتعي في غفلةٍ إذا انقضَى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والحمدُ خيرُ ما اتَّخذتَ ج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نَّةً</w:t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002331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"/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وأنفسُ الأذخارِ</w:t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002331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"/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من بعدِ التُّقى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منْ لم يعظْهُ الدَّهرُ لم ينفعهُ ما ... راحَ بهِ الواعظُ يوماً أو غدَا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منْ لم ت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دْهُ عبراً أيَّام</w:t>
      </w:r>
      <w:r w:rsidR="0020234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كانَ العمى أولى بهِ من الهُدى</w:t>
      </w:r>
    </w:p>
    <w:p w:rsidR="007011CA" w:rsidRPr="001761CB" w:rsidRDefault="007011CA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مَنْ قاسَ ما لم يرهُ بما رأى ... أراهُ ما يدنو إليه ما نأى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"/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7011CA" w:rsidRPr="001761CB" w:rsidRDefault="007011CA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مَنْ عط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َّ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فَ النَّفسَ على مكروهِها ... كانَ الغنى قرينهُ حيثُ انتوى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5"/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عوّ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6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على الص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َّ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بر الجميل 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إ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َّ</w:t>
      </w:r>
      <w:r w:rsidR="0073352C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 ... أمنعُ ما لاذ به أولو</w:t>
      </w:r>
      <w:bookmarkStart w:id="0" w:name="_GoBack"/>
      <w:bookmarkEnd w:id="0"/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الح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جا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7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وعطّفِ النّ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فس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على س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لِ الأ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8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إذا استفزّ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9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القلب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تبريح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الج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0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لا تعجبنْ من هالكٍ كيف هوى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1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بل فاعجبن من سالمٍ كيف نجا</w:t>
      </w:r>
    </w:p>
    <w:p w:rsidR="002632B1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والنَّاسُ ألفٌ منهمُ كواحدٍ ... وواحدٌ كالألفِ إنْ أمرٌ عنَا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وللفتى منْ مالهِ ما قدَّمتْ ... يداهُ قبلَ موتهِ لا ما اقتنى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وإنَّما المرءُ حديثٌ 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بعدَه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فكنْ حديثاً حسناً لمنْ وعى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من لكَ بالمهذَّبِ النَّدبِ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2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الذي ... لا يجدُ العيبَ إليه مختطى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3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002331" w:rsidRPr="001761CB" w:rsidRDefault="00002331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إذا بلوتَ السَّيفَ محموداً فلا ... تذم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مْهُ يوماً أنْ ت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راهُ قد نبَا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4"/>
      </w:r>
      <w:r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إذا تصفَّحتَ أمورَ النَّاسِ لم ... تلفِ امرءاً حازَ الكمالَ فاكتفى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إلاَّ بقايا من أُناسٍ به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مُ ... إلى سبيلِ المكرماتِ يُقتدى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 ابنَ ميكالَ</w:t>
      </w:r>
      <w:r w:rsidR="00E5433F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E5433F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5"/>
      </w:r>
      <w:r w:rsidR="00E5433F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E5433F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الأميرَ انتاشَني</w:t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002331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6"/>
      </w:r>
      <w:r w:rsidR="00002331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منْ بعدِ ما قد كنتُ كالشَّيءِ اللَّق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ى</w:t>
      </w:r>
      <w:r w:rsidR="00E5433F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E5433F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7"/>
      </w:r>
      <w:r w:rsidR="00E5433F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عجبتُ من مستيقنٍ أنَّ الرَّدى</w:t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011CA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8"/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إذا أتاهُ لا يُداوى بالرُّقى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وهوَ من الغفلةِ في أ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َّ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ةٍ</w:t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011CA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9"/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ك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خابطٍ بينَ ظلامٍ وعشَ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ا</w:t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011CA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0"/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إذا ذوى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20CE5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1"/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الغ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صنُ الرَّطيبُ فاعلمنْ ... 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أ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 ق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صاراهُ نفا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دٌ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وتوى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20CE5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2"/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إنَّ الشَّقاءَ بالشَّقيِّ 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لَ</w:t>
      </w:r>
      <w:r w:rsidR="00A31AD2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عٌ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3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A31AD2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لا ي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="00A31AD2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مل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="00A31AD2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كُ الرَّدَّ لهُ إذا أتى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واللَّومُ للحرِّ 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قيمٌ رادعٌ ... والعبدُ لا يردعهُ إلاَّ العصَا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وآفةُ العقلِ الهوى فمنْ علا ... على هواهُ عقل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فقدْ نجَا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والشَّيخُ إنْ قوَّمتهُ من زيغهِ ... لم ي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="00E81CE0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مِ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التثقيفُ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4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منهُ ما التوى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كذلكَ الغ</w:t>
      </w:r>
      <w:r w:rsidR="00975132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صنُ يسيرٌ عطف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ل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دن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ًا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5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شديدٌ غمز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6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إذا عسَا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7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منْ ظلمَ النَّاسَ تحامَوا ظلم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وعزَّ عنهمْ جانباهُ واحتمى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وهمْ لمنْ لانَ لهمْ ج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ان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أظلمُ من حيَّاتِ أنبا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ثِ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السَّفا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8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عبيدُ ذي المالِ وإنْ لم يطمعَوا ... من غمرهِ</w:t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A37F7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9"/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في ج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رعةٍ ت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شفي الصَّدى</w:t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A37F7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0"/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وهمْ لمنْ أمل</w:t>
      </w:r>
      <w:r w:rsidR="007A37F7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قَ</w:t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A37F7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1"/>
      </w:r>
      <w:r w:rsidR="007A37F7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أعداءٌ وإنْ ... شاركه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مْ فيما أفادَ وحوى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إنَّ الأُلى فارقتُ من غيرِ قِلى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2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ما زاغَ قلبي عنه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مُ ولا هفَا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3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إذا امرؤٌ خيفَ لإفراطِ الأذى ... لم ي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خشَ منِّي نز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قٌ</w:t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975132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4"/>
      </w:r>
      <w:r w:rsidR="00975132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ولا أذى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إنّي حلبتُ</w:t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011CA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5"/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الدّهر شطريه</w:t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7011CA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6"/>
      </w:r>
      <w:r w:rsidR="007011CA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7011CA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 xml:space="preserve"> 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فق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د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أ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مرَّ لي حيناً وأحياناً حلا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ما أنعمَ الع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يشةَ لو أنَّ الفتى ... يقبلُ منه موتُ</w:t>
      </w:r>
      <w:r w:rsidR="002528E6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ه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</w:t>
      </w:r>
      <w:r w:rsidR="002528E6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سن</w:t>
      </w:r>
      <w:r w:rsidR="002528E6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ى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الرُّشَا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7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أو لوْ تحلَّى بالشَّبابِ 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عُمْ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لم يستلِب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الشَّيبُ هاتيكَ الح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8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20CE5" w:rsidRPr="001761CB" w:rsidRDefault="00920CE5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أ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راجعٌ لي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الدَّهرُ حولاً كاملاً ... إلى الذي عوَّدَ أم لا ي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رتجى</w:t>
      </w:r>
    </w:p>
    <w:p w:rsidR="00FD675C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هيهاتَ مهما يُست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َع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رْ 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رج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عٌ ... وفي خطوبِ الدَّهرِ للنَّاسِ أُسى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9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وسائل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ٍ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بمُز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جي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0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عن وطن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ٍ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ما ضاقَ بي ج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ناب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1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ولا نبَا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2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قلتُ القضاءُ مالكٌ أمرَ الفتى ... من حيثُ لا يدري ومنْ حيثُ درى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تسألنِّي واسألِ المقدارَ هلْ ... يعصمُ منهُ وز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رٌ </w:t>
      </w:r>
      <w:r w:rsidR="00E81CE0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أ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</w:t>
      </w:r>
      <w:r w:rsidR="00E81CE0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 xml:space="preserve"> </w:t>
      </w:r>
      <w:r w:rsidR="00E81CE0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E81CE0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ُدَّ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3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بدَّ أنْ يلقى امرؤٌ ما خطَّهُ ... ذو العرشِ ممَّا هو لاقٍ ووحى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4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من كلِّ ما نالَ الفتى قدْ ن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لتهُ ... والمرءُ يبقَى بعدهُ ح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نُ الثَّنا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فإنْ أ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تْ فقد ت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ناه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تْ ل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ذَّتي ... وكلّ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شيءٍ بلغَ الحدَّ انتهى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حاشَا ل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ا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5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َّ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الحِجا ... والح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لمُ أنْ أ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تبعَ ر</w:t>
      </w:r>
      <w:r w:rsidR="00E81CE0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وَّادَ الخ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نَا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6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A31AD2" w:rsidRPr="001761CB" w:rsidRDefault="00A31AD2" w:rsidP="001761C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أو أنْ أُرى ل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كبةٍ 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ُ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ختض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="00920CE5"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عاً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7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 xml:space="preserve"> 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... أو لابتهاجٍ ف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َ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</w:t>
      </w:r>
      <w:r w:rsidR="00920CE5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ِ</w:t>
      </w:r>
      <w:r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ح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اً ومُز</w:t>
      </w:r>
      <w:r w:rsidR="00002331" w:rsidRPr="001761C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YE"/>
        </w:rPr>
        <w:t>ْ</w:t>
      </w:r>
      <w:r w:rsidRPr="001761CB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دهى</w:t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2528E6" w:rsidRPr="001959EB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8"/>
      </w:r>
      <w:r w:rsidR="002528E6" w:rsidRPr="001761CB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5568D" w:rsidRPr="0095568D" w:rsidRDefault="0095568D" w:rsidP="0095568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  <w:lang w:bidi="ar-YE"/>
        </w:rPr>
      </w:pPr>
    </w:p>
    <w:p w:rsidR="00002331" w:rsidRPr="0095568D" w:rsidRDefault="00002331" w:rsidP="0095568D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95568D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اختارها وعلق عليها/ محمد بن علي بن جميل المطري</w:t>
      </w:r>
    </w:p>
    <w:p w:rsidR="00002331" w:rsidRPr="0095568D" w:rsidRDefault="00002331" w:rsidP="0095568D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95568D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غفر الله له ولوالديه ولجميع المسلمين</w:t>
      </w:r>
    </w:p>
    <w:p w:rsidR="00002331" w:rsidRPr="0095568D" w:rsidRDefault="00002331" w:rsidP="0095568D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lang w:bidi="ar-YE"/>
        </w:rPr>
      </w:pPr>
      <w:r w:rsidRPr="0095568D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5 شهر رجب 1444</w:t>
      </w:r>
    </w:p>
    <w:sectPr w:rsidR="00002331" w:rsidRPr="0095568D" w:rsidSect="00FD675C">
      <w:footerReference w:type="default" r:id="rId8"/>
      <w:footnotePr>
        <w:numRestart w:val="eachPage"/>
      </w:footnotePr>
      <w:type w:val="continuous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F4" w:rsidRDefault="00B134F4" w:rsidP="00920CE5">
      <w:pPr>
        <w:spacing w:after="0" w:line="240" w:lineRule="auto"/>
      </w:pPr>
      <w:r>
        <w:separator/>
      </w:r>
    </w:p>
  </w:endnote>
  <w:endnote w:type="continuationSeparator" w:id="0">
    <w:p w:rsidR="00B134F4" w:rsidRDefault="00B134F4" w:rsidP="0092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79506673"/>
      <w:docPartObj>
        <w:docPartGallery w:val="Page Numbers (Bottom of Page)"/>
        <w:docPartUnique/>
      </w:docPartObj>
    </w:sdtPr>
    <w:sdtEndPr/>
    <w:sdtContent>
      <w:p w:rsidR="00FD675C" w:rsidRDefault="00FD67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52C" w:rsidRPr="0073352C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FD675C" w:rsidRDefault="00FD67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F4" w:rsidRDefault="00B134F4" w:rsidP="00920CE5">
      <w:pPr>
        <w:spacing w:after="0" w:line="240" w:lineRule="auto"/>
      </w:pPr>
      <w:r>
        <w:separator/>
      </w:r>
    </w:p>
  </w:footnote>
  <w:footnote w:type="continuationSeparator" w:id="0">
    <w:p w:rsidR="00B134F4" w:rsidRDefault="00B134F4" w:rsidP="00920CE5">
      <w:pPr>
        <w:spacing w:after="0" w:line="240" w:lineRule="auto"/>
      </w:pPr>
      <w:r>
        <w:continuationSeparator/>
      </w:r>
    </w:p>
  </w:footnote>
  <w:footnote w:id="1">
    <w:p w:rsidR="00920CE5" w:rsidRPr="000A16AC" w:rsidRDefault="00920CE5" w:rsidP="00920CE5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يعني الليل والنهار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">
    <w:p w:rsidR="00002331" w:rsidRPr="000A16AC" w:rsidRDefault="00002331" w:rsidP="00002331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سُترة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">
    <w:p w:rsidR="00002331" w:rsidRPr="000A16AC" w:rsidRDefault="00002331" w:rsidP="00002331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ما ادخرته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بعُد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5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قصد وتوجه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6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اعتمد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7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أصحاب العقول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8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الأُسا جمع أسوة، والمراد التأسي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9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استخف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0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الحزن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1">
    <w:p w:rsidR="002528E6" w:rsidRPr="000A16AC" w:rsidRDefault="002528E6" w:rsidP="0095568D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يعني هلك سواء باتباع الباطل أو بالموت، فالبيت يحتمل المعنيين، والأصل في أحو</w:t>
      </w:r>
      <w:r w:rsidR="0095568D">
        <w:rPr>
          <w:rFonts w:ascii="Traditional Arabic" w:hAnsi="Traditional Arabic" w:hint="cs"/>
          <w:color w:val="auto"/>
          <w:sz w:val="28"/>
          <w:rtl/>
          <w:lang w:bidi="ar-SY"/>
        </w:rPr>
        <w:t>ال الناس الخسارة باتباع الأهواء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، وكل إنسان إلى الموت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2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السيد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3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طريقا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4">
    <w:p w:rsidR="00002331" w:rsidRPr="000A16AC" w:rsidRDefault="00002331" w:rsidP="00002331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لم يقطع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5">
    <w:p w:rsidR="00E5433F" w:rsidRPr="000A16AC" w:rsidRDefault="00E5433F" w:rsidP="00E5433F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محمد بن عبد الله بن ميكال النيسابوري رئيس خراسان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6">
    <w:p w:rsidR="00002331" w:rsidRPr="000A16AC" w:rsidRDefault="00002331" w:rsidP="00002331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تناولني وتداركني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7">
    <w:p w:rsidR="00E5433F" w:rsidRPr="000A16AC" w:rsidRDefault="00E5433F" w:rsidP="00E5433F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الشيء الحقير الذي يُلقى في الأرض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8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الموت الذي لا ينفع معه علاج ولا رُقى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19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الحفرة في الأرض يضيق أعلاها ويتسع أسفلها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0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الظلام، ويطلق على ضعف البصر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1">
    <w:p w:rsidR="00920CE5" w:rsidRPr="000A16AC" w:rsidRDefault="00920CE5" w:rsidP="00920CE5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يبِس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2">
    <w:p w:rsidR="00920CE5" w:rsidRPr="000A16AC" w:rsidRDefault="00920CE5" w:rsidP="00920CE5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هلاك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3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 الشقاء ملازم للشقي المنهمك في الباطل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4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تثقيف </w:t>
      </w:r>
      <w:r w:rsidRPr="00975132">
        <w:rPr>
          <w:rFonts w:ascii="Traditional Arabic" w:hAnsi="Traditional Arabic"/>
          <w:color w:val="auto"/>
          <w:sz w:val="28"/>
          <w:rtl/>
          <w:lang w:bidi="ar-SY"/>
        </w:rPr>
        <w:t xml:space="preserve">الشيء 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إصلاحه وإ</w:t>
      </w:r>
      <w:r w:rsidRPr="00975132">
        <w:rPr>
          <w:rFonts w:ascii="Traditional Arabic" w:hAnsi="Traditional Arabic"/>
          <w:color w:val="auto"/>
          <w:sz w:val="28"/>
          <w:rtl/>
          <w:lang w:bidi="ar-SY"/>
        </w:rPr>
        <w:t>قام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ة</w:t>
      </w:r>
      <w:r w:rsidRPr="00975132">
        <w:rPr>
          <w:rFonts w:ascii="Traditional Arabic" w:hAnsi="Traditional Arabic"/>
          <w:color w:val="auto"/>
          <w:sz w:val="28"/>
          <w:rtl/>
          <w:lang w:bidi="ar-SY"/>
        </w:rPr>
        <w:t xml:space="preserve"> المعوج منه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>، وتثقيف الإنسان تعليمه وتأديبه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5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ليِّن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6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تقويمه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7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غلظ وقوي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8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اسم موضع، ويضرب المثل بالحية في الظلم، فيقال: أظلم من حية؛ لأنها لا تحتفر جُحرا، ولكنها تأتي إلى جُحر غيرها من الحيوانات وتستولي عليه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9">
    <w:p w:rsidR="007A37F7" w:rsidRPr="000A16AC" w:rsidRDefault="007A37F7" w:rsidP="007A37F7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أي من مائه الكثير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0">
    <w:p w:rsidR="007A37F7" w:rsidRPr="000A16AC" w:rsidRDefault="007A37F7" w:rsidP="007A37F7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الظمأ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1">
    <w:p w:rsidR="007A37F7" w:rsidRPr="000A16AC" w:rsidRDefault="007A37F7" w:rsidP="007A37F7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افتقر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2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زل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3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هلاك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4">
    <w:p w:rsidR="00975132" w:rsidRPr="000A16AC" w:rsidRDefault="00975132" w:rsidP="00975132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طيش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5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جربت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6">
    <w:p w:rsidR="007011CA" w:rsidRPr="000A16AC" w:rsidRDefault="007011CA" w:rsidP="007011CA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حلوه ومره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7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 أحسن الرُّشا، جمع رشوة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8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 محاسنه من نضارة الوجه والقوة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39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أسوة والمراد التصبر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0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أي بشيء مفزعٍ لي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1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ناحيته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2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تجافى عنه ولم يوافقه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3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ملجأ أو مكان ادراء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4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كتب، فكل امرئ سيلقى ما قدره الله عليه مما هو مكتوب في اللوح المحفوظ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5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أبقاه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6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أي أتنزه عن اتباع المزينين للفجور بسبب ما أبقاه العقل والحلم فيَّ من الامتناع من الوقوع في الفواحش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7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ذليلا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8">
    <w:p w:rsidR="002528E6" w:rsidRPr="000A16AC" w:rsidRDefault="002528E6" w:rsidP="002528E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>
        <w:rPr>
          <w:rFonts w:ascii="Traditional Arabic" w:hAnsi="Traditional Arabic"/>
          <w:color w:val="auto"/>
          <w:sz w:val="28"/>
          <w:rtl/>
          <w:lang w:bidi="ar-SY"/>
        </w:rPr>
        <w:t>)</w:t>
      </w:r>
      <w:r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زاهيا خفيف الحلم</w:t>
      </w:r>
      <w:r w:rsidRPr="000A16AC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D7C31"/>
    <w:multiLevelType w:val="hybridMultilevel"/>
    <w:tmpl w:val="5D422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65"/>
    <w:rsid w:val="00002331"/>
    <w:rsid w:val="0000397E"/>
    <w:rsid w:val="000F21AE"/>
    <w:rsid w:val="001761CB"/>
    <w:rsid w:val="001959EB"/>
    <w:rsid w:val="00202345"/>
    <w:rsid w:val="00247397"/>
    <w:rsid w:val="002528E6"/>
    <w:rsid w:val="002632B1"/>
    <w:rsid w:val="004247C9"/>
    <w:rsid w:val="005233A3"/>
    <w:rsid w:val="00624B1A"/>
    <w:rsid w:val="007011CA"/>
    <w:rsid w:val="00703276"/>
    <w:rsid w:val="0073352C"/>
    <w:rsid w:val="00761362"/>
    <w:rsid w:val="007A37F7"/>
    <w:rsid w:val="00846A65"/>
    <w:rsid w:val="00920CE5"/>
    <w:rsid w:val="0095568D"/>
    <w:rsid w:val="00975132"/>
    <w:rsid w:val="00A31AD2"/>
    <w:rsid w:val="00B134F4"/>
    <w:rsid w:val="00B726DB"/>
    <w:rsid w:val="00B86F8F"/>
    <w:rsid w:val="00D64D57"/>
    <w:rsid w:val="00DA0815"/>
    <w:rsid w:val="00DB61F9"/>
    <w:rsid w:val="00E2021C"/>
    <w:rsid w:val="00E5433F"/>
    <w:rsid w:val="00E62191"/>
    <w:rsid w:val="00E81CE0"/>
    <w:rsid w:val="00FA0DD7"/>
    <w:rsid w:val="00FD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AD2"/>
    <w:pPr>
      <w:ind w:left="720"/>
      <w:contextualSpacing/>
    </w:pPr>
  </w:style>
  <w:style w:type="paragraph" w:styleId="a4">
    <w:name w:val="footnote text"/>
    <w:aliases w:val="Char Char,Char Char1,Char Char2 Char"/>
    <w:basedOn w:val="a"/>
    <w:link w:val="Char"/>
    <w:uiPriority w:val="99"/>
    <w:qFormat/>
    <w:rsid w:val="00920CE5"/>
    <w:pPr>
      <w:spacing w:after="0" w:line="240" w:lineRule="auto"/>
    </w:pPr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customStyle="1" w:styleId="Char">
    <w:name w:val="نص حاشية سفلية Char"/>
    <w:aliases w:val="Char Char Char,Char Char1 Char,Char Char2 Char Char"/>
    <w:basedOn w:val="a0"/>
    <w:link w:val="a4"/>
    <w:uiPriority w:val="99"/>
    <w:rsid w:val="00920CE5"/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"/>
    <w:basedOn w:val="a0"/>
    <w:uiPriority w:val="99"/>
    <w:rsid w:val="00920CE5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FD6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FD675C"/>
  </w:style>
  <w:style w:type="paragraph" w:styleId="a7">
    <w:name w:val="footer"/>
    <w:basedOn w:val="a"/>
    <w:link w:val="Char1"/>
    <w:uiPriority w:val="99"/>
    <w:unhideWhenUsed/>
    <w:rsid w:val="00FD6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FD6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AD2"/>
    <w:pPr>
      <w:ind w:left="720"/>
      <w:contextualSpacing/>
    </w:pPr>
  </w:style>
  <w:style w:type="paragraph" w:styleId="a4">
    <w:name w:val="footnote text"/>
    <w:aliases w:val="Char Char,Char Char1,Char Char2 Char"/>
    <w:basedOn w:val="a"/>
    <w:link w:val="Char"/>
    <w:uiPriority w:val="99"/>
    <w:qFormat/>
    <w:rsid w:val="00920CE5"/>
    <w:pPr>
      <w:spacing w:after="0" w:line="240" w:lineRule="auto"/>
    </w:pPr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customStyle="1" w:styleId="Char">
    <w:name w:val="نص حاشية سفلية Char"/>
    <w:aliases w:val="Char Char Char,Char Char1 Char,Char Char2 Char Char"/>
    <w:basedOn w:val="a0"/>
    <w:link w:val="a4"/>
    <w:uiPriority w:val="99"/>
    <w:rsid w:val="00920CE5"/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"/>
    <w:basedOn w:val="a0"/>
    <w:uiPriority w:val="99"/>
    <w:rsid w:val="00920CE5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FD6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FD675C"/>
  </w:style>
  <w:style w:type="paragraph" w:styleId="a7">
    <w:name w:val="footer"/>
    <w:basedOn w:val="a"/>
    <w:link w:val="Char1"/>
    <w:uiPriority w:val="99"/>
    <w:unhideWhenUsed/>
    <w:rsid w:val="00FD6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FD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!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2023-01-26T14:58:00Z</cp:lastPrinted>
  <dcterms:created xsi:type="dcterms:W3CDTF">2023-01-26T13:39:00Z</dcterms:created>
  <dcterms:modified xsi:type="dcterms:W3CDTF">2023-01-27T17:25:00Z</dcterms:modified>
</cp:coreProperties>
</file>